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29" w:rsidRPr="00E52129" w:rsidRDefault="00E52129" w:rsidP="00E52129">
      <w:pPr>
        <w:widowControl/>
        <w:rPr>
          <w:rFonts w:eastAsia="新細明體" w:cstheme="minorHAnsi"/>
          <w:color w:val="000000"/>
          <w:kern w:val="0"/>
          <w:szCs w:val="24"/>
        </w:rPr>
      </w:pPr>
      <w:r w:rsidRPr="00E52129">
        <w:rPr>
          <w:rFonts w:eastAsia="新細明體" w:cstheme="minorHAnsi"/>
          <w:color w:val="000000"/>
          <w:kern w:val="0"/>
          <w:szCs w:val="24"/>
        </w:rPr>
        <w:t>File Format</w:t>
      </w:r>
    </w:p>
    <w:p w:rsidR="00E52129" w:rsidRPr="00E52129" w:rsidRDefault="00E52129" w:rsidP="00E52129">
      <w:pPr>
        <w:pStyle w:val="a3"/>
        <w:widowControl/>
        <w:numPr>
          <w:ilvl w:val="0"/>
          <w:numId w:val="1"/>
        </w:numPr>
        <w:ind w:leftChars="0"/>
        <w:rPr>
          <w:rFonts w:eastAsia="新細明體" w:cstheme="minorHAnsi"/>
          <w:color w:val="000000"/>
          <w:kern w:val="0"/>
          <w:szCs w:val="24"/>
        </w:rPr>
      </w:pPr>
      <w:r w:rsidRPr="00E52129">
        <w:rPr>
          <w:rFonts w:eastAsia="新細明體" w:cstheme="minorHAnsi"/>
          <w:color w:val="000000"/>
          <w:kern w:val="0"/>
          <w:szCs w:val="24"/>
        </w:rPr>
        <w:t>Stoc</w:t>
      </w:r>
      <w:bookmarkStart w:id="0" w:name="_GoBack"/>
      <w:bookmarkEnd w:id="0"/>
      <w:r w:rsidRPr="00E52129">
        <w:rPr>
          <w:rFonts w:eastAsia="新細明體" w:cstheme="minorHAnsi"/>
          <w:color w:val="000000"/>
          <w:kern w:val="0"/>
          <w:szCs w:val="24"/>
        </w:rPr>
        <w:t>k code</w:t>
      </w:r>
    </w:p>
    <w:p w:rsidR="00E52129" w:rsidRPr="00E52129" w:rsidRDefault="00E52129" w:rsidP="00E52129">
      <w:pPr>
        <w:pStyle w:val="a3"/>
        <w:widowControl/>
        <w:numPr>
          <w:ilvl w:val="0"/>
          <w:numId w:val="1"/>
        </w:numPr>
        <w:ind w:leftChars="0"/>
        <w:rPr>
          <w:rFonts w:eastAsia="新細明體" w:cstheme="minorHAnsi"/>
          <w:color w:val="000000"/>
          <w:kern w:val="0"/>
          <w:szCs w:val="24"/>
        </w:rPr>
      </w:pPr>
      <w:r w:rsidRPr="00E52129">
        <w:rPr>
          <w:rFonts w:eastAsia="新細明體" w:cstheme="minorHAnsi"/>
          <w:color w:val="000000"/>
          <w:kern w:val="0"/>
          <w:szCs w:val="24"/>
        </w:rPr>
        <w:t>Suspended from margin short selling</w:t>
      </w:r>
    </w:p>
    <w:p w:rsidR="00E52129" w:rsidRPr="00E52129" w:rsidRDefault="00E52129" w:rsidP="00E52129">
      <w:pPr>
        <w:pStyle w:val="a3"/>
        <w:widowControl/>
        <w:numPr>
          <w:ilvl w:val="0"/>
          <w:numId w:val="1"/>
        </w:numPr>
        <w:ind w:leftChars="0"/>
        <w:rPr>
          <w:rFonts w:eastAsia="新細明體" w:cstheme="minorHAnsi"/>
          <w:color w:val="000000"/>
          <w:kern w:val="0"/>
          <w:szCs w:val="24"/>
        </w:rPr>
      </w:pPr>
      <w:r w:rsidRPr="00E52129">
        <w:rPr>
          <w:rFonts w:eastAsia="新細明體" w:cstheme="minorHAnsi"/>
          <w:color w:val="000000"/>
          <w:kern w:val="0"/>
          <w:szCs w:val="24"/>
        </w:rPr>
        <w:t>Suspended from SBL short selling</w:t>
      </w:r>
    </w:p>
    <w:p w:rsidR="00E52129" w:rsidRPr="00E52129" w:rsidRDefault="00E52129" w:rsidP="00E52129">
      <w:pPr>
        <w:pStyle w:val="a3"/>
        <w:widowControl/>
        <w:numPr>
          <w:ilvl w:val="0"/>
          <w:numId w:val="1"/>
        </w:numPr>
        <w:ind w:leftChars="0"/>
        <w:rPr>
          <w:rFonts w:eastAsia="新細明體" w:cstheme="minorHAnsi"/>
          <w:color w:val="000000"/>
          <w:kern w:val="0"/>
          <w:szCs w:val="24"/>
        </w:rPr>
      </w:pPr>
      <w:r w:rsidRPr="00E52129">
        <w:rPr>
          <w:rFonts w:eastAsia="新細明體" w:cstheme="minorHAnsi"/>
          <w:color w:val="000000"/>
          <w:kern w:val="0"/>
          <w:szCs w:val="24"/>
        </w:rPr>
        <w:t>Subject to uptick rule</w:t>
      </w:r>
    </w:p>
    <w:p w:rsidR="00E52129" w:rsidRDefault="00E52129" w:rsidP="00E52129">
      <w:r>
        <w:t>Remarks:</w:t>
      </w:r>
    </w:p>
    <w:p w:rsidR="00E52129" w:rsidRDefault="00E52129" w:rsidP="00E52129">
      <w:r>
        <w:t>1. The securities listed above are eligible for margin purchases and short sales, excluding those which have not been qualified yet, or being suspended pursuant to the articles 4 and 5 of “Standards Governing Eligibility of Securities for Margin Purchase and Short Sale”.</w:t>
      </w:r>
    </w:p>
    <w:p w:rsidR="00E52129" w:rsidRDefault="00E52129" w:rsidP="00E52129">
      <w:r>
        <w:t>2. Securities eligible for margin purchases and short sales will be suspended from being sold short for four days commencing from the sixth business day prior to suspension of share transfer registration, or when the number of shares sold through margin short sale reaches the threshold of the total outstanding shares of that given security.</w:t>
      </w:r>
    </w:p>
    <w:p w:rsidR="00E52129" w:rsidRDefault="00E52129" w:rsidP="00E52129">
      <w:r>
        <w:t>3. SBL Short sales suspension is in effect when the balance of securities borrowed and sold reaches the threshold of the total outstanding shares of that given security.</w:t>
      </w:r>
    </w:p>
    <w:p w:rsidR="0054017C" w:rsidRDefault="00E52129" w:rsidP="00E52129">
      <w:r>
        <w:t>4. Uptick rule in effect when the previous day’s closing price reaches the limit down price, or when, no trade was executed the lowest recorded sell order at market close of the previous trading day reaches the limit down price, such that short sales must be entered at a price equal to or above a stock's the previous day’s closing price for the following trading day.</w:t>
      </w:r>
    </w:p>
    <w:sectPr w:rsidR="005401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D63CA"/>
    <w:multiLevelType w:val="hybridMultilevel"/>
    <w:tmpl w:val="BE241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29"/>
    <w:rsid w:val="005923EC"/>
    <w:rsid w:val="00C3279D"/>
    <w:rsid w:val="00E52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D74D"/>
  <w15:chartTrackingRefBased/>
  <w15:docId w15:val="{687214C7-B6FC-44B3-BD63-E5792ED7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1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20768">
      <w:bodyDiv w:val="1"/>
      <w:marLeft w:val="0"/>
      <w:marRight w:val="0"/>
      <w:marTop w:val="0"/>
      <w:marBottom w:val="0"/>
      <w:divBdr>
        <w:top w:val="none" w:sz="0" w:space="0" w:color="auto"/>
        <w:left w:val="none" w:sz="0" w:space="0" w:color="auto"/>
        <w:bottom w:val="none" w:sz="0" w:space="0" w:color="auto"/>
        <w:right w:val="none" w:sz="0" w:space="0" w:color="auto"/>
      </w:divBdr>
    </w:div>
    <w:div w:id="344207553">
      <w:bodyDiv w:val="1"/>
      <w:marLeft w:val="0"/>
      <w:marRight w:val="0"/>
      <w:marTop w:val="0"/>
      <w:marBottom w:val="0"/>
      <w:divBdr>
        <w:top w:val="none" w:sz="0" w:space="0" w:color="auto"/>
        <w:left w:val="none" w:sz="0" w:space="0" w:color="auto"/>
        <w:bottom w:val="none" w:sz="0" w:space="0" w:color="auto"/>
        <w:right w:val="none" w:sz="0" w:space="0" w:color="auto"/>
      </w:divBdr>
    </w:div>
    <w:div w:id="406652905">
      <w:bodyDiv w:val="1"/>
      <w:marLeft w:val="0"/>
      <w:marRight w:val="0"/>
      <w:marTop w:val="0"/>
      <w:marBottom w:val="0"/>
      <w:divBdr>
        <w:top w:val="none" w:sz="0" w:space="0" w:color="auto"/>
        <w:left w:val="none" w:sz="0" w:space="0" w:color="auto"/>
        <w:bottom w:val="none" w:sz="0" w:space="0" w:color="auto"/>
        <w:right w:val="none" w:sz="0" w:space="0" w:color="auto"/>
      </w:divBdr>
    </w:div>
    <w:div w:id="10291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1089</Characters>
  <Application>Microsoft Office Word</Application>
  <DocSecurity>0</DocSecurity>
  <Lines>9</Lines>
  <Paragraphs>2</Paragraphs>
  <ScaleCrop>false</ScaleCrop>
  <Company>TWSE 臺灣證券交易所</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楊毓才</dc:creator>
  <cp:keywords/>
  <dc:description/>
  <cp:lastModifiedBy>楊毓才</cp:lastModifiedBy>
  <cp:revision>1</cp:revision>
  <dcterms:created xsi:type="dcterms:W3CDTF">2023-06-20T08:38:00Z</dcterms:created>
  <dcterms:modified xsi:type="dcterms:W3CDTF">2023-06-20T08:41:00Z</dcterms:modified>
</cp:coreProperties>
</file>