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外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陸資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個股買賣超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彙總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表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檔</w:t>
      </w:r>
      <w:bookmarkEnd w:id="0"/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D5390" w:rsidRPr="004D5390">
        <w:rPr>
          <w:rFonts w:ascii="Arial" w:hAnsi="Arial" w:cs="Arial"/>
          <w:sz w:val="28"/>
          <w:szCs w:val="28"/>
          <w:lang w:val="en"/>
        </w:rPr>
        <w:t>Trading Volume of Foreign Investors include Mainland Area Investors (Share)</w:t>
      </w:r>
    </w:p>
    <w:p w:rsidR="00EC6EC0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標楷體" w:eastAsia="標楷體"/>
          <w:sz w:val="28"/>
        </w:rPr>
        <w:t>TWT</w:t>
      </w:r>
      <w:r w:rsidR="00BA2BFD">
        <w:rPr>
          <w:rFonts w:ascii="標楷體" w:eastAsia="標楷體" w:hint="eastAsia"/>
          <w:sz w:val="28"/>
        </w:rPr>
        <w:t>38</w:t>
      </w:r>
      <w:r w:rsidR="00EC6EC0">
        <w:rPr>
          <w:rFonts w:ascii="標楷體" w:eastAsia="標楷體"/>
          <w:sz w:val="28"/>
        </w:rPr>
        <w:t>U</w:t>
      </w:r>
      <w:r w:rsidR="00EC6EC0">
        <w:rPr>
          <w:rFonts w:ascii="標楷體" w:eastAsia="標楷體" w:hint="eastAsia"/>
          <w:sz w:val="28"/>
        </w:rPr>
        <w:t>/TWTA</w:t>
      </w:r>
      <w:r w:rsidR="00BA2BFD">
        <w:rPr>
          <w:rFonts w:ascii="標楷體" w:eastAsia="標楷體"/>
          <w:sz w:val="28"/>
        </w:rPr>
        <w:t>B</w:t>
      </w:r>
      <w:r w:rsidR="00EC6EC0">
        <w:rPr>
          <w:rFonts w:ascii="標楷體" w:eastAsia="標楷體" w:hint="eastAsia"/>
          <w:sz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C978F5" w:rsidRPr="00C70CD7" w:rsidTr="00777199">
        <w:tc>
          <w:tcPr>
            <w:tcW w:w="3805" w:type="dxa"/>
          </w:tcPr>
          <w:p w:rsidR="00C978F5" w:rsidRPr="00C978F5" w:rsidRDefault="00C978F5" w:rsidP="00D36AD2">
            <w:pPr>
              <w:widowControl w:val="0"/>
              <w:spacing w:line="380" w:lineRule="exact"/>
              <w:rPr>
                <w:rFonts w:ascii="微軟正黑體" w:eastAsia="微軟正黑體" w:hAnsi="微軟正黑體" w:cs="標楷體"/>
              </w:rPr>
            </w:pPr>
            <w:r w:rsidRPr="00C978F5">
              <w:rPr>
                <w:rFonts w:ascii="微軟正黑體" w:eastAsia="微軟正黑體" w:hAnsi="微軟正黑體" w:cs="標楷體" w:hint="eastAsia"/>
              </w:rPr>
              <w:t>交易日期</w:t>
            </w:r>
            <w:r w:rsidR="00D36AD2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D36AD2">
              <w:rPr>
                <w:rFonts w:ascii="微軟正黑體" w:eastAsia="微軟正黑體" w:hAnsi="微軟正黑體" w:cs="標楷體"/>
              </w:rPr>
              <w:t xml:space="preserve"> Date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9(8)</w:t>
            </w:r>
          </w:p>
        </w:tc>
        <w:tc>
          <w:tcPr>
            <w:tcW w:w="2359" w:type="dxa"/>
          </w:tcPr>
          <w:p w:rsidR="00C978F5" w:rsidRPr="00C978F5" w:rsidRDefault="00C978F5" w:rsidP="00C978F5">
            <w:pPr>
              <w:pStyle w:val="a8"/>
              <w:widowControl w:val="0"/>
              <w:numPr>
                <w:ilvl w:val="0"/>
                <w:numId w:val="6"/>
              </w:numPr>
              <w:spacing w:line="380" w:lineRule="exact"/>
              <w:ind w:leftChars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8</w:t>
            </w:r>
          </w:p>
        </w:tc>
        <w:tc>
          <w:tcPr>
            <w:tcW w:w="2744" w:type="dxa"/>
          </w:tcPr>
          <w:p w:rsidR="00C978F5" w:rsidRPr="00C978F5" w:rsidRDefault="00C978F5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證券代號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新細明體" w:hAnsi="新細明體" w:hint="eastAsia"/>
                <w:color w:val="auto"/>
              </w:rPr>
              <w:t>S</w:t>
            </w:r>
            <w:r w:rsidR="00D36AD2" w:rsidRPr="00E73949">
              <w:rPr>
                <w:rFonts w:ascii="新細明體" w:hAnsi="新細明體"/>
                <w:color w:val="auto"/>
              </w:rPr>
              <w:t>ecurity Code</w:t>
            </w:r>
          </w:p>
        </w:tc>
        <w:tc>
          <w:tcPr>
            <w:tcW w:w="1468" w:type="dxa"/>
          </w:tcPr>
          <w:p w:rsidR="000D1DE6" w:rsidRPr="00131E9A" w:rsidRDefault="004B22BA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176158" w:rsidRPr="00131E9A">
              <w:rPr>
                <w:rFonts w:ascii="微軟正黑體" w:eastAsia="微軟正黑體" w:hAnsi="微軟正黑體" w:cs="標楷體"/>
              </w:rPr>
              <w:t>6)</w:t>
            </w:r>
          </w:p>
        </w:tc>
        <w:tc>
          <w:tcPr>
            <w:tcW w:w="2359" w:type="dxa"/>
          </w:tcPr>
          <w:p w:rsidR="000D1DE6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9  </w:t>
            </w:r>
            <w:r w:rsidR="00176158"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176158" w:rsidRPr="00131E9A">
              <w:rPr>
                <w:rFonts w:ascii="微軟正黑體" w:eastAsia="微軟正黑體" w:hAnsi="微軟正黑體" w:cs="標楷體"/>
              </w:rPr>
              <w:t>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外陸資買進股數(不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Investors include Mainland Area Investors (Foreign Dealers excluded)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15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</w:t>
            </w:r>
            <w:r w:rsidR="007345D0"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外陸資賣出股數(不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Investors include Mainland Area Investors (Foreign Dealers excluded)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27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D36AD2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</w:t>
            </w: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 w:hint="eastAsia"/>
                <w:color w:val="auto"/>
              </w:rPr>
              <w:t>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 xml:space="preserve">Foreign Investors include Mainland Area Investors (Foreign Dealers excluded) </w:t>
            </w:r>
            <w:r w:rsidR="00D36AD2">
              <w:rPr>
                <w:rFonts w:ascii="Helvetica" w:hAnsi="Helvetica" w:cs="Helvetica"/>
                <w:bCs/>
              </w:rPr>
              <w:t>Difference</w:t>
            </w:r>
          </w:p>
        </w:tc>
        <w:tc>
          <w:tcPr>
            <w:tcW w:w="1468" w:type="dxa"/>
          </w:tcPr>
          <w:p w:rsidR="00C978F5" w:rsidRPr="00131E9A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C978F5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39- 13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資自營商買進股數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Dealers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52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</w:t>
            </w:r>
            <w:r w:rsidRPr="00291A5A">
              <w:rPr>
                <w:rFonts w:ascii="新細明體" w:hAnsi="新細明體" w:hint="eastAsia"/>
                <w:color w:val="auto"/>
              </w:rPr>
              <w:t>賣出</w:t>
            </w:r>
            <w:r w:rsidRPr="00291A5A">
              <w:rPr>
                <w:rFonts w:ascii="新細明體" w:hAnsi="新細明體"/>
                <w:color w:val="auto"/>
              </w:rPr>
              <w:t>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Dealers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C978F5">
              <w:rPr>
                <w:rFonts w:ascii="微軟正黑體" w:eastAsia="微軟正黑體" w:hAnsi="微軟正黑體" w:cs="標楷體" w:hint="eastAsia"/>
              </w:rPr>
              <w:t>64</w:t>
            </w:r>
            <w:r w:rsidRPr="00131E9A">
              <w:rPr>
                <w:rFonts w:ascii="微軟正黑體" w:eastAsia="微軟正黑體" w:hAnsi="微軟正黑體" w:cs="標楷體"/>
              </w:rPr>
              <w:t>-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C978F5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</w:t>
            </w: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/>
                <w:color w:val="auto"/>
              </w:rPr>
              <w:t>股數</w:t>
            </w:r>
            <w:r w:rsidR="00D36AD2" w:rsidRPr="00E73949">
              <w:rPr>
                <w:rFonts w:ascii="Helvetica" w:hAnsi="Helvetica" w:cs="Helvetica"/>
                <w:bCs/>
              </w:rPr>
              <w:t>Foreign Dealers</w:t>
            </w:r>
            <w:r w:rsidR="00D36AD2">
              <w:rPr>
                <w:rFonts w:ascii="Helvetica" w:hAnsi="Helvetica" w:cs="Helvetica"/>
                <w:bCs/>
              </w:rPr>
              <w:t xml:space="preserve"> Difference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S9(12)</w:t>
            </w:r>
          </w:p>
        </w:tc>
        <w:tc>
          <w:tcPr>
            <w:tcW w:w="2359" w:type="dxa"/>
          </w:tcPr>
          <w:p w:rsidR="00C978F5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76- 13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</w:t>
            </w:r>
            <w:r w:rsidR="007345D0" w:rsidRPr="00291A5A">
              <w:rPr>
                <w:rFonts w:ascii="新細明體" w:hAnsi="新細明體" w:hint="eastAsia"/>
                <w:color w:val="auto"/>
              </w:rPr>
              <w:t>買進股數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 w:rsidRPr="00E73949">
              <w:rPr>
                <w:rFonts w:ascii="Helvetica" w:hAnsi="Helvetica" w:cs="Helvetica"/>
                <w:bCs/>
              </w:rPr>
              <w:t xml:space="preserve">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89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外陸資賣出</w:t>
            </w:r>
            <w:r w:rsidR="007345D0" w:rsidRPr="00291A5A">
              <w:rPr>
                <w:rFonts w:ascii="新細明體" w:hAnsi="新細明體" w:hint="eastAsia"/>
                <w:color w:val="auto"/>
              </w:rPr>
              <w:t>股數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 w:rsidRPr="00E73949">
              <w:rPr>
                <w:rFonts w:ascii="Helvetica" w:hAnsi="Helvetica" w:cs="Helvetica"/>
                <w:bCs/>
              </w:rPr>
              <w:t xml:space="preserve">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101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外陸資買賣超股數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>
              <w:rPr>
                <w:rFonts w:ascii="Helvetica" w:hAnsi="Helvetica" w:cs="Helvetica"/>
                <w:bCs/>
              </w:rPr>
              <w:t xml:space="preserve"> Difference</w:t>
            </w:r>
          </w:p>
        </w:tc>
        <w:tc>
          <w:tcPr>
            <w:tcW w:w="1468" w:type="dxa"/>
          </w:tcPr>
          <w:p w:rsidR="007345D0" w:rsidRPr="00131E9A" w:rsidRDefault="00791252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="007345D0"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113</w:t>
            </w:r>
            <w:r>
              <w:rPr>
                <w:rFonts w:ascii="微軟正黑體" w:eastAsia="微軟正黑體" w:hAnsi="微軟正黑體" w:cs="標楷體" w:hint="eastAsia"/>
              </w:rPr>
              <w:t>-  1</w:t>
            </w:r>
            <w:r w:rsidR="00A07393">
              <w:rPr>
                <w:rFonts w:ascii="微軟正黑體" w:eastAsia="微軟正黑體" w:hAnsi="微軟正黑體" w:cs="標楷體" w:hint="eastAsia"/>
              </w:rPr>
              <w:t>3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91252" w:rsidP="0079125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鉅額註記</w:t>
            </w:r>
          </w:p>
        </w:tc>
        <w:tc>
          <w:tcPr>
            <w:tcW w:w="1468" w:type="dxa"/>
          </w:tcPr>
          <w:p w:rsidR="007345D0" w:rsidRPr="00131E9A" w:rsidRDefault="00791252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</w:t>
            </w:r>
            <w:r w:rsidR="007345D0" w:rsidRPr="00131E9A">
              <w:rPr>
                <w:rFonts w:ascii="微軟正黑體" w:eastAsia="微軟正黑體" w:hAnsi="微軟正黑體" w:cs="標楷體"/>
              </w:rPr>
              <w:t>(</w:t>
            </w:r>
            <w:r>
              <w:rPr>
                <w:rFonts w:ascii="微軟正黑體" w:eastAsia="微軟正黑體" w:hAnsi="微軟正黑體" w:cs="標楷體" w:hint="eastAsia"/>
              </w:rPr>
              <w:t>01</w:t>
            </w:r>
            <w:r w:rsidR="007345D0"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126</w:t>
            </w:r>
            <w:r>
              <w:rPr>
                <w:rFonts w:ascii="微軟正黑體" w:eastAsia="微軟正黑體" w:hAnsi="微軟正黑體" w:cs="標楷體" w:hint="eastAsia"/>
              </w:rPr>
              <w:t>-</w:t>
            </w:r>
            <w:r>
              <w:rPr>
                <w:rFonts w:ascii="微軟正黑體" w:eastAsia="微軟正黑體" w:hAnsi="微軟正黑體" w:cs="標楷體"/>
              </w:rPr>
              <w:t xml:space="preserve">  1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91252" w:rsidP="007345D0">
            <w:pPr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  <w:color w:val="auto"/>
              </w:rPr>
              <w:t>空白</w:t>
            </w:r>
          </w:p>
        </w:tc>
        <w:tc>
          <w:tcPr>
            <w:tcW w:w="1468" w:type="dxa"/>
          </w:tcPr>
          <w:p w:rsidR="007345D0" w:rsidRPr="00131E9A" w:rsidRDefault="00791252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</w:t>
            </w:r>
            <w:r w:rsidR="007345D0" w:rsidRPr="00131E9A">
              <w:rPr>
                <w:rFonts w:ascii="微軟正黑體" w:eastAsia="微軟正黑體" w:hAnsi="微軟正黑體" w:cs="標楷體"/>
              </w:rPr>
              <w:t>(</w:t>
            </w:r>
            <w:r>
              <w:rPr>
                <w:rFonts w:ascii="微軟正黑體" w:eastAsia="微軟正黑體" w:hAnsi="微軟正黑體" w:cs="標楷體" w:hint="eastAsia"/>
              </w:rPr>
              <w:t>24</w:t>
            </w:r>
            <w:r w:rsidR="007345D0"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1</w:t>
            </w:r>
            <w:r w:rsidR="00A07393">
              <w:rPr>
                <w:rFonts w:ascii="微軟正黑體" w:eastAsia="微軟正黑體" w:hAnsi="微軟正黑體" w:cs="標楷體" w:hint="eastAsia"/>
              </w:rPr>
              <w:t>27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="00A07393">
              <w:rPr>
                <w:rFonts w:ascii="微軟正黑體" w:eastAsia="微軟正黑體" w:hAnsi="微軟正黑體" w:cs="標楷體" w:hint="eastAsia"/>
              </w:rPr>
              <w:t>4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:rsidR="00A07393" w:rsidRDefault="00A07393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791252" w:rsidP="009C5AFD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外</w:t>
            </w:r>
            <w:r w:rsidR="009C5A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陸</w:t>
            </w: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資個股買賣超</w:t>
            </w:r>
            <w:r w:rsidR="009C5A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彙總表</w:t>
            </w:r>
            <w:r w:rsidR="00C70CD7"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0E" w:rsidRDefault="00F8140E" w:rsidP="00C1252D">
      <w:r>
        <w:separator/>
      </w:r>
    </w:p>
  </w:endnote>
  <w:endnote w:type="continuationSeparator" w:id="0">
    <w:p w:rsidR="00F8140E" w:rsidRDefault="00F8140E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0E" w:rsidRDefault="00F8140E" w:rsidP="00C1252D">
      <w:r>
        <w:separator/>
      </w:r>
    </w:p>
  </w:footnote>
  <w:footnote w:type="continuationSeparator" w:id="0">
    <w:p w:rsidR="00F8140E" w:rsidRDefault="00F8140E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2EFE7792"/>
    <w:multiLevelType w:val="hybridMultilevel"/>
    <w:tmpl w:val="6B7E4450"/>
    <w:lvl w:ilvl="0" w:tplc="7464B7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670FF9"/>
    <w:multiLevelType w:val="hybridMultilevel"/>
    <w:tmpl w:val="283E4962"/>
    <w:lvl w:ilvl="0" w:tplc="47DE62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DE6"/>
    <w:rsid w:val="00131E9A"/>
    <w:rsid w:val="00156DD6"/>
    <w:rsid w:val="00157151"/>
    <w:rsid w:val="00171C24"/>
    <w:rsid w:val="00176158"/>
    <w:rsid w:val="00191EA8"/>
    <w:rsid w:val="00291A5A"/>
    <w:rsid w:val="003354F6"/>
    <w:rsid w:val="003842A1"/>
    <w:rsid w:val="0038543E"/>
    <w:rsid w:val="00460AC5"/>
    <w:rsid w:val="004B22BA"/>
    <w:rsid w:val="004D5390"/>
    <w:rsid w:val="0056445E"/>
    <w:rsid w:val="006A0B5C"/>
    <w:rsid w:val="0071698C"/>
    <w:rsid w:val="00717BA2"/>
    <w:rsid w:val="007345D0"/>
    <w:rsid w:val="00777199"/>
    <w:rsid w:val="00791252"/>
    <w:rsid w:val="00821783"/>
    <w:rsid w:val="008C0442"/>
    <w:rsid w:val="008D151D"/>
    <w:rsid w:val="009C5AFD"/>
    <w:rsid w:val="00A07393"/>
    <w:rsid w:val="00A17735"/>
    <w:rsid w:val="00AB3E7B"/>
    <w:rsid w:val="00AE6391"/>
    <w:rsid w:val="00B904AD"/>
    <w:rsid w:val="00BA2BFD"/>
    <w:rsid w:val="00BF286B"/>
    <w:rsid w:val="00C1252D"/>
    <w:rsid w:val="00C2095E"/>
    <w:rsid w:val="00C70CD7"/>
    <w:rsid w:val="00C978F5"/>
    <w:rsid w:val="00D36AD2"/>
    <w:rsid w:val="00D60C1A"/>
    <w:rsid w:val="00DB1CC6"/>
    <w:rsid w:val="00EC6EC0"/>
    <w:rsid w:val="00F22401"/>
    <w:rsid w:val="00F814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325B-4E7A-4B1F-8DD2-1C71448B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4</DocSecurity>
  <Lines>8</Lines>
  <Paragraphs>2</Paragraphs>
  <ScaleCrop>false</ScaleCrop>
  <Company>TWSE 臺灣證券交易所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2020-11-25T08:09:00Z</cp:lastPrinted>
  <dcterms:created xsi:type="dcterms:W3CDTF">2020-11-25T08:19:00Z</dcterms:created>
  <dcterms:modified xsi:type="dcterms:W3CDTF">2020-11-25T08:19:00Z</dcterms:modified>
</cp:coreProperties>
</file>