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262DE310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F10A5" w:rsidRPr="009F10A5">
        <w:rPr>
          <w:rFonts w:ascii="微軟正黑體" w:eastAsia="微軟正黑體" w:hAnsi="微軟正黑體" w:cs="標楷體" w:hint="eastAsia"/>
          <w:sz w:val="28"/>
          <w:szCs w:val="28"/>
        </w:rPr>
        <w:t>借券標的證券</w:t>
      </w:r>
    </w:p>
    <w:p w14:paraId="4807E5DA" w14:textId="6B50ED34" w:rsidR="00056A67" w:rsidRPr="00A872E0" w:rsidRDefault="00056A67" w:rsidP="00A872E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A872E0" w:rsidRPr="00A872E0">
        <w:rPr>
          <w:rFonts w:ascii="微軟正黑體" w:eastAsia="微軟正黑體" w:hAnsi="微軟正黑體" w:cs="標楷體"/>
          <w:sz w:val="28"/>
          <w:szCs w:val="28"/>
        </w:rPr>
        <w:t>Loanable securities list</w:t>
      </w:r>
    </w:p>
    <w:p w14:paraId="7209A9E5" w14:textId="76F3D09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872E0" w:rsidRPr="00A872E0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TWTBFU、TWT60U</w:t>
      </w:r>
      <w:r w:rsidR="00F83F1F" w:rsidRPr="00A872E0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、TWT60U</w:t>
      </w:r>
      <w:r w:rsidR="00F83F1F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</w:p>
    <w:p w14:paraId="77C79DE4" w14:textId="73422731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671BA">
        <w:rPr>
          <w:rFonts w:ascii="微軟正黑體" w:eastAsia="微軟正黑體" w:hAnsi="微軟正黑體" w:cs="標楷體" w:hint="eastAsia"/>
          <w:b/>
          <w:sz w:val="28"/>
          <w:szCs w:val="28"/>
        </w:rPr>
        <w:t>46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BB2155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="00890EB5"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2CB79494" w:rsidR="00156DD6" w:rsidRPr="00BB2155" w:rsidRDefault="00156DD6" w:rsidP="002671B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BB2155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</w:t>
            </w:r>
            <w:r w:rsidR="002671BA"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38</w:t>
            </w:r>
            <w:r w:rsidRPr="00BB2155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5AEF7B1" w:rsidR="00156DD6" w:rsidRPr="00BB2155" w:rsidRDefault="00156DD6" w:rsidP="002671B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9</w:t>
            </w:r>
            <w:r w:rsidR="00890EB5" w:rsidRPr="00BB2155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– </w:t>
            </w:r>
            <w:r w:rsidR="002671BA"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38</w:t>
            </w:r>
          </w:p>
        </w:tc>
        <w:tc>
          <w:tcPr>
            <w:tcW w:w="2744" w:type="dxa"/>
          </w:tcPr>
          <w:p w14:paraId="3058692C" w14:textId="62C718B5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3C43C7" w:rsidRPr="00C70CD7" w14:paraId="75C8A5F1" w14:textId="77777777" w:rsidTr="00777199">
        <w:tc>
          <w:tcPr>
            <w:tcW w:w="3805" w:type="dxa"/>
          </w:tcPr>
          <w:p w14:paraId="24EB7385" w14:textId="2E2A47C7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3BF0F975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367E9F3A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43C7" w:rsidRPr="00C70CD7" w14:paraId="5FA291E5" w14:textId="77777777" w:rsidTr="00777199">
        <w:tc>
          <w:tcPr>
            <w:tcW w:w="3805" w:type="dxa"/>
          </w:tcPr>
          <w:p w14:paraId="2D93017E" w14:textId="0B15EC44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1FBF22EE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8852881" w14:textId="5BF87ECF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0F7D93FA" w14:textId="2E7211AE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43C7" w:rsidRPr="00C70CD7" w14:paraId="05BFB822" w14:textId="77777777" w:rsidTr="00777199">
        <w:tc>
          <w:tcPr>
            <w:tcW w:w="3805" w:type="dxa"/>
          </w:tcPr>
          <w:p w14:paraId="012F4A1C" w14:textId="29402D51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Indicator</w:t>
            </w:r>
          </w:p>
        </w:tc>
        <w:tc>
          <w:tcPr>
            <w:tcW w:w="1468" w:type="dxa"/>
          </w:tcPr>
          <w:p w14:paraId="0E3ACB66" w14:textId="7B41FAD4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0099B684" w14:textId="5787C460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5C410A23" w14:textId="77777777" w:rsidR="003C43C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T:T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WSE</w:t>
            </w:r>
          </w:p>
          <w:p w14:paraId="23FB963F" w14:textId="462EBF46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O:OTC</w:t>
            </w:r>
          </w:p>
        </w:tc>
      </w:tr>
      <w:tr w:rsidR="003C43C7" w:rsidRPr="00C70CD7" w14:paraId="04B96062" w14:textId="77777777" w:rsidTr="002671BA">
        <w:trPr>
          <w:trHeight w:val="978"/>
        </w:trPr>
        <w:tc>
          <w:tcPr>
            <w:tcW w:w="3805" w:type="dxa"/>
            <w:tcBorders>
              <w:bottom w:val="single" w:sz="4" w:space="0" w:color="auto"/>
            </w:tcBorders>
          </w:tcPr>
          <w:p w14:paraId="2707B164" w14:textId="04F36D15" w:rsidR="002671BA" w:rsidRPr="002671BA" w:rsidRDefault="003C43C7" w:rsidP="00BB215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開盤參考價 O</w:t>
            </w:r>
            <w:r w:rsidRPr="002671B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pening Reference Price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6D2D1647" w14:textId="496E7CEE" w:rsidR="003C43C7" w:rsidRPr="002671BA" w:rsidRDefault="003C43C7" w:rsidP="00BB215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</w:t>
            </w:r>
            <w:r w:rsidR="006101D9" w:rsidRPr="002671B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V9</w:t>
            </w:r>
            <w:r w:rsid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75BC9089" w14:textId="6EE8F121" w:rsidR="003C43C7" w:rsidRPr="002671BA" w:rsidRDefault="003C43C7" w:rsidP="00BB215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24 </w:t>
            </w:r>
            <w:r w:rsidRPr="002671B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–</w:t>
            </w: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5E01C397" w14:textId="61BFAEFD" w:rsidR="003C43C7" w:rsidRPr="002671BA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2671BA" w:rsidRPr="00C70CD7" w14:paraId="79EAE0C9" w14:textId="77777777" w:rsidTr="002671BA">
        <w:trPr>
          <w:trHeight w:val="473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14:paraId="7E40A2B6" w14:textId="55654DB7" w:rsidR="007C7BCF" w:rsidRPr="002671BA" w:rsidRDefault="00BB2155" w:rsidP="0044559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證券商停止出借註記</w:t>
            </w:r>
            <w:r w:rsidR="007C7BC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N</w:t>
            </w:r>
            <w:r w:rsidR="007C7BCF" w:rsidRPr="007C7BCF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ote stan</w:t>
            </w:r>
            <w:r w:rsidR="007C7BCF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</w:t>
            </w:r>
            <w:r w:rsidR="0044559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ing for "</w:t>
            </w:r>
            <w:r w:rsidR="0044559B" w:rsidRPr="0044559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suspension of lending out by securities firms</w:t>
            </w:r>
            <w:r w:rsidR="007C7BCF" w:rsidRPr="007C7BCF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"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10AF1815" w14:textId="25CAB6CF" w:rsidR="002671BA" w:rsidRPr="002671BA" w:rsidRDefault="00BB2155" w:rsidP="006101D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(1)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668B9E43" w14:textId="55FF64A7" w:rsidR="002671BA" w:rsidRPr="005E74C8" w:rsidRDefault="00BB2155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33 </w:t>
            </w:r>
            <w:r w:rsidR="001D12A8"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–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1</w:t>
            </w:r>
          </w:p>
          <w:p w14:paraId="3090E1A0" w14:textId="47A256F7" w:rsidR="001D12A8" w:rsidRPr="005E74C8" w:rsidRDefault="001D12A8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39EF0F0F" w14:textId="2321774F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55EAE8C4" w14:textId="2FF08397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38F51046" w14:textId="2C7E0DCB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7AE3FFB5" w14:textId="17D5B03A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7BD66314" w14:textId="6AA3F771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283B89C3" w14:textId="06F29CE0" w:rsidR="000D3EB3" w:rsidRPr="0054373D" w:rsidRDefault="000D3EB3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707AB372" w14:textId="77777777" w:rsidR="005806C3" w:rsidRDefault="005806C3" w:rsidP="005806C3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lastRenderedPageBreak/>
              <w:t>空白</w:t>
            </w:r>
            <w:r w:rsidR="007F3177"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：該標的證券正常交易</w:t>
            </w:r>
          </w:p>
          <w:p w14:paraId="5CA09B2B" w14:textId="5A55F9E8" w:rsidR="006D5FDC" w:rsidRDefault="000D3EB3" w:rsidP="005806C3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Filler</w:t>
            </w:r>
            <w:r w:rsidRPr="000D3EB3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:</w:t>
            </w:r>
            <w:r w:rsidRPr="000D3EB3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The </w:t>
            </w:r>
            <w:r w:rsidR="0044559B" w:rsidRPr="0044559B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underlying securities</w:t>
            </w:r>
            <w:r w:rsidRPr="000D3EB3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are normally traded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.</w:t>
            </w:r>
          </w:p>
          <w:p w14:paraId="41A1E904" w14:textId="77777777" w:rsidR="007C7BCF" w:rsidRDefault="007C7BCF" w:rsidP="005806C3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44B679E5" w14:textId="77777777" w:rsidR="002671BA" w:rsidRDefault="005806C3" w:rsidP="00856D01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lastRenderedPageBreak/>
              <w:t>“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Y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:</w:t>
            </w:r>
            <w:r w:rsidR="007F3177"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該標的證券發生【融券餘額+出借證券餘額≧融資餘額+自有有價證券+借入證券餘額】時，</w:t>
            </w:r>
            <w:r w:rsidR="007F3177"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借貸專戶</w:t>
            </w:r>
            <w:r w:rsidR="00856D01"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</w:t>
            </w:r>
            <w:r w:rsidR="007F3177"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8800000)、融資券專戶(9999999、0000012)等相</w:t>
            </w:r>
            <w:r w:rsidR="007F3177"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關專戶當日停止出借該證券，其餘帳戶不受影響。</w:t>
            </w:r>
            <w:r w:rsidR="00856D01"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(「證券商辦理有價證券買賣融資融券管理辦法」第23條)</w:t>
            </w:r>
          </w:p>
          <w:p w14:paraId="6CD0A8B7" w14:textId="20AC5260" w:rsidR="006D5FDC" w:rsidRDefault="006D5FDC" w:rsidP="00856D01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01C7CABD" w14:textId="13C1F19E" w:rsidR="007C7BCF" w:rsidRDefault="007C7BCF" w:rsidP="007C7BCF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"Y": When the subject security occurs </w:t>
            </w:r>
            <w:r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【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total balance of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  <w:r w:rsidR="00D65A02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margin short sale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+</w:t>
            </w:r>
            <w:r w:rsidR="00021739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on loan balance from lending business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≧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the balance of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margin purchase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+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the securities firm's own holdings of that type of securities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+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securities borrowed from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he TWSE SBL system and its client from the “SBL by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lastRenderedPageBreak/>
              <w:t>brokers” business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】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,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the securities borrowing and lending account of a securities firm or of a securities finance enterprise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(8800000), financing and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 the securities firm's segregated account for margin purchases and short sales</w:t>
            </w:r>
            <w:r w:rsidR="00021739"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(9999999, 0000012) and other relevant special accounts will cease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lending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on that day, and the remaining accounts will not be affected.</w:t>
            </w:r>
          </w:p>
          <w:p w14:paraId="0F20D728" w14:textId="0640DF6B" w:rsidR="006D5FDC" w:rsidRPr="005E74C8" w:rsidRDefault="006D5FDC" w:rsidP="007C7BCF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6D5FD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</w:t>
            </w:r>
            <w:r w:rsidR="005E74C8"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Article23</w:t>
            </w:r>
            <w:r w:rsid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of the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Regulations Governing the Conduct of Securities Trading Margin Purchase and Short Sale Operations by Securities Firms</w:t>
            </w:r>
            <w:r w:rsidRPr="006D5FD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)</w:t>
            </w:r>
          </w:p>
        </w:tc>
      </w:tr>
      <w:tr w:rsidR="002671BA" w:rsidRPr="00C70CD7" w14:paraId="67D3E774" w14:textId="77777777" w:rsidTr="002671BA">
        <w:trPr>
          <w:trHeight w:val="462"/>
        </w:trPr>
        <w:tc>
          <w:tcPr>
            <w:tcW w:w="3805" w:type="dxa"/>
            <w:tcBorders>
              <w:top w:val="single" w:sz="4" w:space="0" w:color="auto"/>
            </w:tcBorders>
          </w:tcPr>
          <w:p w14:paraId="39BDACFB" w14:textId="167ABA93" w:rsidR="002671BA" w:rsidRPr="002671BA" w:rsidRDefault="00BB2155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lastRenderedPageBreak/>
              <w:t>空白 Filler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3CA1EBE8" w14:textId="4125544C" w:rsidR="002671BA" w:rsidRPr="002671BA" w:rsidRDefault="00BB2155" w:rsidP="006101D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X(13)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2AE3EB24" w14:textId="37ACFAE7" w:rsidR="002671BA" w:rsidRPr="002671BA" w:rsidRDefault="00BB2155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34</w:t>
            </w: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 w:rsidR="001D12A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13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4C07EFA" w14:textId="77777777" w:rsidR="002671BA" w:rsidRPr="002671BA" w:rsidRDefault="002671BA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14:paraId="39A9C0E7" w14:textId="348EEF68" w:rsidR="000D1DE6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6A834457" w14:textId="48E1BC75" w:rsidR="009A5C79" w:rsidRDefault="009A5C79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2E245E23" w14:textId="77777777" w:rsidR="007C7BCF" w:rsidRDefault="007C7BCF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14:paraId="54F6ADBE" w14:textId="77777777" w:rsidR="007C7BCF" w:rsidRDefault="007C7BCF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1510494E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060F0114" w:rsidR="00C70CD7" w:rsidRPr="00056A67" w:rsidRDefault="00C70CD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251C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6392914C" w:rsidR="00C70CD7" w:rsidRPr="00056A67" w:rsidRDefault="007F317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4D0F37D9" w14:textId="65B8637A" w:rsidR="00C70CD7" w:rsidRPr="00056A67" w:rsidRDefault="007F317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7/13</w:t>
            </w:r>
          </w:p>
        </w:tc>
        <w:tc>
          <w:tcPr>
            <w:tcW w:w="6662" w:type="dxa"/>
          </w:tcPr>
          <w:p w14:paraId="5BDE6D13" w14:textId="3FD0D729" w:rsidR="00C70CD7" w:rsidRPr="00056A67" w:rsidRDefault="007F317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新增證券商停止出借註記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3EDF" w14:textId="77777777" w:rsidR="00C45FC6" w:rsidRDefault="00C45FC6" w:rsidP="00C1252D">
      <w:r>
        <w:separator/>
      </w:r>
    </w:p>
  </w:endnote>
  <w:endnote w:type="continuationSeparator" w:id="0">
    <w:p w14:paraId="24052A91" w14:textId="77777777" w:rsidR="00C45FC6" w:rsidRDefault="00C45FC6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1BA9" w14:textId="77777777" w:rsidR="00C45FC6" w:rsidRDefault="00C45FC6" w:rsidP="00C1252D">
      <w:r>
        <w:separator/>
      </w:r>
    </w:p>
  </w:footnote>
  <w:footnote w:type="continuationSeparator" w:id="0">
    <w:p w14:paraId="377F9DA1" w14:textId="77777777" w:rsidR="00C45FC6" w:rsidRDefault="00C45FC6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1739"/>
    <w:rsid w:val="00056A67"/>
    <w:rsid w:val="00084016"/>
    <w:rsid w:val="000C0CE0"/>
    <w:rsid w:val="000D1DE6"/>
    <w:rsid w:val="000D3EB3"/>
    <w:rsid w:val="000D4510"/>
    <w:rsid w:val="00156DD6"/>
    <w:rsid w:val="00157151"/>
    <w:rsid w:val="00171C24"/>
    <w:rsid w:val="00176158"/>
    <w:rsid w:val="00176C49"/>
    <w:rsid w:val="00195439"/>
    <w:rsid w:val="001D12A8"/>
    <w:rsid w:val="00251CCC"/>
    <w:rsid w:val="002671BA"/>
    <w:rsid w:val="00276DBD"/>
    <w:rsid w:val="003354F6"/>
    <w:rsid w:val="0038543E"/>
    <w:rsid w:val="003C43C7"/>
    <w:rsid w:val="003E5863"/>
    <w:rsid w:val="00425CCD"/>
    <w:rsid w:val="004304BF"/>
    <w:rsid w:val="0044559B"/>
    <w:rsid w:val="004B22BA"/>
    <w:rsid w:val="0054373D"/>
    <w:rsid w:val="005806C3"/>
    <w:rsid w:val="00585678"/>
    <w:rsid w:val="005E74C8"/>
    <w:rsid w:val="006101D9"/>
    <w:rsid w:val="006A0B5C"/>
    <w:rsid w:val="006C444D"/>
    <w:rsid w:val="006D5FDC"/>
    <w:rsid w:val="0071698C"/>
    <w:rsid w:val="00717BA2"/>
    <w:rsid w:val="00777199"/>
    <w:rsid w:val="007C7BCF"/>
    <w:rsid w:val="007F3177"/>
    <w:rsid w:val="00821783"/>
    <w:rsid w:val="008533DC"/>
    <w:rsid w:val="00856D01"/>
    <w:rsid w:val="00890EB5"/>
    <w:rsid w:val="008C0442"/>
    <w:rsid w:val="008D07B8"/>
    <w:rsid w:val="00951A33"/>
    <w:rsid w:val="009A5C79"/>
    <w:rsid w:val="009F10A5"/>
    <w:rsid w:val="00A06F00"/>
    <w:rsid w:val="00A61026"/>
    <w:rsid w:val="00A872E0"/>
    <w:rsid w:val="00AA16DD"/>
    <w:rsid w:val="00B4330A"/>
    <w:rsid w:val="00BB2155"/>
    <w:rsid w:val="00BF286B"/>
    <w:rsid w:val="00C1252D"/>
    <w:rsid w:val="00C45FC6"/>
    <w:rsid w:val="00C70CD7"/>
    <w:rsid w:val="00D65A02"/>
    <w:rsid w:val="00DC4F25"/>
    <w:rsid w:val="00DF684D"/>
    <w:rsid w:val="00E91C50"/>
    <w:rsid w:val="00EA3C64"/>
    <w:rsid w:val="00EE3936"/>
    <w:rsid w:val="00F22401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6D5F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D1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color w:val="auto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D12A8"/>
    <w:rPr>
      <w:rFonts w:ascii="細明體" w:eastAsia="細明體" w:hAnsi="細明體" w:cs="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B2A3-B328-4C22-A075-DB4C88B1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1510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2020-06-20T08:28:00Z</dcterms:created>
  <dcterms:modified xsi:type="dcterms:W3CDTF">2020-06-20T08:28:00Z</dcterms:modified>
</cp:coreProperties>
</file>