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D36AD2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 xml:space="preserve">Foreign Investors include Mainland Area Investors (Foreign Dealers excluded) 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 w:rsidRPr="00291A5A">
              <w:rPr>
                <w:rFonts w:ascii="新細明體" w:hAnsi="新細明體" w:hint="eastAsia"/>
                <w:color w:val="auto"/>
              </w:rPr>
              <w:t>賣出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C978F5">
              <w:rPr>
                <w:rFonts w:ascii="微軟正黑體" w:eastAsia="微軟正黑體" w:hAnsi="微軟正黑體" w:cs="標楷體" w:hint="eastAsia"/>
              </w:rPr>
              <w:t>64</w:t>
            </w:r>
            <w:r w:rsidRPr="00131E9A">
              <w:rPr>
                <w:rFonts w:ascii="微軟正黑體" w:eastAsia="微軟正黑體" w:hAnsi="微軟正黑體" w:cs="標楷體"/>
              </w:rPr>
              <w:t>-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 w:rsidRPr="00E73949">
              <w:rPr>
                <w:rFonts w:ascii="Helvetica" w:hAnsi="Helvetica" w:cs="Helvetica"/>
                <w:bCs/>
              </w:rPr>
              <w:t>Foreign Dealers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S9(12)</w:t>
            </w: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76- 13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89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外陸資賣出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101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外陸資買賣超股數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7345D0" w:rsidRPr="00131E9A" w:rsidRDefault="00791252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="007345D0"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113</w:t>
            </w:r>
            <w:r>
              <w:rPr>
                <w:rFonts w:ascii="微軟正黑體" w:eastAsia="微軟正黑體" w:hAnsi="微軟正黑體" w:cs="標楷體" w:hint="eastAsia"/>
              </w:rPr>
              <w:t>-  1</w:t>
            </w:r>
            <w:r w:rsidR="00A07393">
              <w:rPr>
                <w:rFonts w:ascii="微軟正黑體" w:eastAsia="微軟正黑體" w:hAnsi="微軟正黑體" w:cs="標楷體" w:hint="eastAsia"/>
              </w:rPr>
              <w:t>3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01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126</w:t>
            </w:r>
            <w:r>
              <w:rPr>
                <w:rFonts w:ascii="微軟正黑體" w:eastAsia="微軟正黑體" w:hAnsi="微軟正黑體" w:cs="標楷體" w:hint="eastAsia"/>
              </w:rPr>
              <w:t>-</w:t>
            </w:r>
            <w:r>
              <w:rPr>
                <w:rFonts w:ascii="微軟正黑體" w:eastAsia="微軟正黑體" w:hAnsi="微軟正黑體" w:cs="標楷體"/>
              </w:rPr>
              <w:t xml:space="preserve">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345D0">
            <w:pPr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空白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24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</w:t>
            </w:r>
            <w:r w:rsidR="00A07393">
              <w:rPr>
                <w:rFonts w:ascii="微軟正黑體" w:eastAsia="微軟正黑體" w:hAnsi="微軟正黑體" w:cs="標楷體" w:hint="eastAsia"/>
              </w:rPr>
              <w:t>27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="00A07393">
              <w:rPr>
                <w:rFonts w:ascii="微軟正黑體" w:eastAsia="微軟正黑體" w:hAnsi="微軟正黑體" w:cs="標楷體" w:hint="eastAsia"/>
              </w:rPr>
              <w:t>4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A07393" w:rsidRDefault="00A07393">
      <w:pPr>
        <w:rPr>
          <w:rFonts w:ascii="微軟正黑體" w:eastAsia="微軟正黑體" w:hAnsi="微軟正黑體" w:cs="Gungsuh" w:hint="eastAsia"/>
          <w:sz w:val="28"/>
          <w:szCs w:val="28"/>
        </w:rPr>
      </w:pPr>
      <w:bookmarkStart w:id="0" w:name="_GoBack"/>
      <w:bookmarkEnd w:id="0"/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791252" w:rsidP="009C5AFD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外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陸</w:t>
            </w: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資個股買賣超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彙總表</w:t>
            </w:r>
            <w:r w:rsidR="00C70CD7"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0E" w:rsidRDefault="00F8140E" w:rsidP="00C1252D">
      <w:r>
        <w:separator/>
      </w:r>
    </w:p>
  </w:endnote>
  <w:endnote w:type="continuationSeparator" w:id="0">
    <w:p w:rsidR="00F8140E" w:rsidRDefault="00F8140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0E" w:rsidRDefault="00F8140E" w:rsidP="00C1252D">
      <w:r>
        <w:separator/>
      </w:r>
    </w:p>
  </w:footnote>
  <w:footnote w:type="continuationSeparator" w:id="0">
    <w:p w:rsidR="00F8140E" w:rsidRDefault="00F8140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460AC5"/>
    <w:rsid w:val="004B22BA"/>
    <w:rsid w:val="004D5390"/>
    <w:rsid w:val="0056445E"/>
    <w:rsid w:val="006A0B5C"/>
    <w:rsid w:val="0071698C"/>
    <w:rsid w:val="00717BA2"/>
    <w:rsid w:val="007345D0"/>
    <w:rsid w:val="00777199"/>
    <w:rsid w:val="00791252"/>
    <w:rsid w:val="00821783"/>
    <w:rsid w:val="008C0442"/>
    <w:rsid w:val="009C5AFD"/>
    <w:rsid w:val="00A07393"/>
    <w:rsid w:val="00A17735"/>
    <w:rsid w:val="00AB3E7B"/>
    <w:rsid w:val="00AE6391"/>
    <w:rsid w:val="00B904AD"/>
    <w:rsid w:val="00BA2BFD"/>
    <w:rsid w:val="00BF286B"/>
    <w:rsid w:val="00C1252D"/>
    <w:rsid w:val="00C2095E"/>
    <w:rsid w:val="00C70CD7"/>
    <w:rsid w:val="00C978F5"/>
    <w:rsid w:val="00D36AD2"/>
    <w:rsid w:val="00D60C1A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4CB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C4B0-5D88-477F-9748-6277DC38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1067</Characters>
  <Application>Microsoft Office Word</Application>
  <DocSecurity>0</DocSecurity>
  <Lines>8</Lines>
  <Paragraphs>2</Paragraphs>
  <ScaleCrop>false</ScaleCrop>
  <Company>TWSE 臺灣證券交易所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9</cp:revision>
  <cp:lastPrinted>2018-03-16T03:03:00Z</cp:lastPrinted>
  <dcterms:created xsi:type="dcterms:W3CDTF">2018-03-15T10:53:00Z</dcterms:created>
  <dcterms:modified xsi:type="dcterms:W3CDTF">2018-03-16T03:19:00Z</dcterms:modified>
</cp:coreProperties>
</file>